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445" w:rsidRPr="00457445" w:rsidRDefault="00457445" w:rsidP="00457445">
      <w:pPr>
        <w:spacing w:line="240" w:lineRule="auto"/>
        <w:jc w:val="center"/>
        <w:rPr>
          <w:rFonts w:ascii="Arial" w:eastAsia="Times New Roman" w:hAnsi="Arial" w:cs="Arial"/>
          <w:color w:val="000000"/>
          <w:sz w:val="18"/>
          <w:szCs w:val="18"/>
          <w:lang w:eastAsia="es-CO"/>
        </w:rPr>
      </w:pPr>
      <w:r w:rsidRPr="00457445">
        <w:rPr>
          <w:rFonts w:ascii="Segoe UI" w:eastAsia="Times New Roman" w:hAnsi="Segoe UI" w:cs="Segoe UI"/>
          <w:b/>
          <w:bCs/>
          <w:color w:val="FF0000"/>
          <w:sz w:val="28"/>
          <w:szCs w:val="28"/>
          <w:lang w:eastAsia="es-CO"/>
        </w:rPr>
        <w:t xml:space="preserve">RESOLUCIÓN NÚMERO </w:t>
      </w:r>
      <w:proofErr w:type="gramStart"/>
      <w:r w:rsidRPr="00457445">
        <w:rPr>
          <w:rFonts w:ascii="Segoe UI" w:eastAsia="Times New Roman" w:hAnsi="Segoe UI" w:cs="Segoe UI"/>
          <w:b/>
          <w:bCs/>
          <w:color w:val="FF0000"/>
          <w:sz w:val="28"/>
          <w:szCs w:val="28"/>
          <w:lang w:eastAsia="es-CO"/>
        </w:rPr>
        <w:t>(  )</w:t>
      </w:r>
      <w:proofErr w:type="gramEnd"/>
      <w:r w:rsidRPr="00457445">
        <w:rPr>
          <w:rFonts w:ascii="Segoe UI" w:eastAsia="Times New Roman" w:hAnsi="Segoe UI" w:cs="Segoe UI"/>
          <w:b/>
          <w:bCs/>
          <w:color w:val="FF0000"/>
          <w:sz w:val="28"/>
          <w:szCs w:val="28"/>
          <w:lang w:eastAsia="es-CO"/>
        </w:rPr>
        <w:t xml:space="preserve"> DE 2019</w:t>
      </w:r>
    </w:p>
    <w:p w:rsidR="00457445" w:rsidRPr="00457445" w:rsidRDefault="00457445" w:rsidP="00457445">
      <w:pPr>
        <w:spacing w:line="240" w:lineRule="auto"/>
        <w:jc w:val="center"/>
        <w:rPr>
          <w:rFonts w:ascii="Arial" w:eastAsia="Times New Roman" w:hAnsi="Arial" w:cs="Arial"/>
          <w:color w:val="000000"/>
          <w:sz w:val="18"/>
          <w:szCs w:val="18"/>
          <w:lang w:eastAsia="es-CO"/>
        </w:rPr>
      </w:pPr>
      <w:r w:rsidRPr="00457445">
        <w:rPr>
          <w:rFonts w:ascii="Segoe UI" w:eastAsia="Times New Roman" w:hAnsi="Segoe UI" w:cs="Segoe UI"/>
          <w:b/>
          <w:bCs/>
          <w:color w:val="FF0000"/>
          <w:sz w:val="28"/>
          <w:szCs w:val="28"/>
          <w:lang w:eastAsia="es-CO"/>
        </w:rPr>
        <w:t>UGPP</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color w:val="000000"/>
          <w:sz w:val="22"/>
          <w:szCs w:val="22"/>
          <w:lang w:eastAsia="es-CO"/>
        </w:rPr>
        <w:t> </w:t>
      </w:r>
    </w:p>
    <w:p w:rsidR="00457445" w:rsidRPr="00457445" w:rsidRDefault="00457445" w:rsidP="00457445">
      <w:pPr>
        <w:spacing w:line="240" w:lineRule="auto"/>
        <w:jc w:val="center"/>
        <w:rPr>
          <w:rFonts w:ascii="Arial" w:eastAsia="Times New Roman" w:hAnsi="Arial" w:cs="Arial"/>
          <w:color w:val="000000"/>
          <w:sz w:val="18"/>
          <w:szCs w:val="18"/>
          <w:lang w:eastAsia="es-CO"/>
        </w:rPr>
      </w:pPr>
      <w:r w:rsidRPr="00457445">
        <w:rPr>
          <w:rFonts w:ascii="Segoe UI" w:eastAsia="Times New Roman" w:hAnsi="Segoe UI" w:cs="Segoe UI"/>
          <w:color w:val="000000"/>
          <w:sz w:val="22"/>
          <w:szCs w:val="22"/>
          <w:lang w:eastAsia="es-CO"/>
        </w:rPr>
        <w:t> </w:t>
      </w:r>
    </w:p>
    <w:p w:rsidR="00457445" w:rsidRPr="00457445" w:rsidRDefault="00457445" w:rsidP="00457445">
      <w:pPr>
        <w:spacing w:line="240" w:lineRule="auto"/>
        <w:jc w:val="center"/>
        <w:rPr>
          <w:rFonts w:ascii="Arial" w:eastAsia="Times New Roman" w:hAnsi="Arial" w:cs="Arial"/>
          <w:color w:val="000000"/>
          <w:sz w:val="18"/>
          <w:szCs w:val="18"/>
          <w:lang w:eastAsia="es-CO"/>
        </w:rPr>
      </w:pPr>
      <w:r w:rsidRPr="00457445">
        <w:rPr>
          <w:rFonts w:ascii="Segoe UI" w:eastAsia="Times New Roman" w:hAnsi="Segoe UI" w:cs="Segoe UI"/>
          <w:color w:val="000000"/>
          <w:sz w:val="22"/>
          <w:szCs w:val="22"/>
          <w:lang w:eastAsia="es-CO"/>
        </w:rPr>
        <w:t>Por la cual se adopta el esquema de presunción de costos para los trabajadores independientes por cuenta propia y los trabajadores independientes con contratos diferentes a prestación de servicios personales conforme a su actividad económica.</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color w:val="000000"/>
          <w:sz w:val="22"/>
          <w:szCs w:val="22"/>
          <w:lang w:eastAsia="es-CO"/>
        </w:rPr>
        <w:t> </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color w:val="000000"/>
          <w:sz w:val="22"/>
          <w:szCs w:val="22"/>
          <w:lang w:eastAsia="es-CO"/>
        </w:rPr>
        <w:t>El Director General de la Unidad Administrativa Especial de Gestión Pensional y Contribuciones Parafiscales de la Protección Social -UGPP-, en ejercicio de las facultades previstas en el numeral 11 del artículo 9º del Decreto 575 de 2013 y en especial la conferida en el parágrafo del artículo 244 de la Ley 1955 de 2019 y,</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b/>
          <w:bCs/>
          <w:color w:val="000000"/>
          <w:sz w:val="22"/>
          <w:szCs w:val="22"/>
          <w:lang w:eastAsia="es-CO"/>
        </w:rPr>
        <w:t> </w:t>
      </w:r>
    </w:p>
    <w:p w:rsidR="00457445" w:rsidRPr="00457445" w:rsidRDefault="00457445" w:rsidP="00457445">
      <w:pPr>
        <w:spacing w:line="240" w:lineRule="auto"/>
        <w:jc w:val="center"/>
        <w:rPr>
          <w:rFonts w:ascii="Arial" w:eastAsia="Times New Roman" w:hAnsi="Arial" w:cs="Arial"/>
          <w:color w:val="000000"/>
          <w:sz w:val="18"/>
          <w:szCs w:val="18"/>
          <w:lang w:eastAsia="es-CO"/>
        </w:rPr>
      </w:pPr>
      <w:r w:rsidRPr="00457445">
        <w:rPr>
          <w:rFonts w:ascii="Segoe UI" w:eastAsia="Times New Roman" w:hAnsi="Segoe UI" w:cs="Segoe UI"/>
          <w:b/>
          <w:bCs/>
          <w:color w:val="000000"/>
          <w:sz w:val="22"/>
          <w:szCs w:val="22"/>
          <w:lang w:eastAsia="es-CO"/>
        </w:rPr>
        <w:t>CONSIDERANDO</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color w:val="000000"/>
          <w:sz w:val="22"/>
          <w:szCs w:val="22"/>
          <w:lang w:eastAsia="es-CO"/>
        </w:rPr>
        <w:t> </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color w:val="000000"/>
          <w:sz w:val="22"/>
          <w:szCs w:val="22"/>
          <w:lang w:eastAsia="es-CO"/>
        </w:rPr>
        <w:t>Que el artículo 244 de la Ley 1955 de 2019 por el cual se expide el Plan Nacional de Desarrollo 2018-2022. </w:t>
      </w:r>
      <w:r w:rsidRPr="00457445">
        <w:rPr>
          <w:rFonts w:ascii="Segoe UI" w:eastAsia="Times New Roman" w:hAnsi="Segoe UI" w:cs="Segoe UI"/>
          <w:b/>
          <w:bCs/>
          <w:color w:val="000000"/>
          <w:sz w:val="22"/>
          <w:szCs w:val="22"/>
          <w:lang w:eastAsia="es-CO"/>
        </w:rPr>
        <w:t>"Pacto por Colombia, pacto por la Equidad</w:t>
      </w:r>
      <w:r w:rsidRPr="00457445">
        <w:rPr>
          <w:rFonts w:ascii="Segoe UI" w:eastAsia="Times New Roman" w:hAnsi="Segoe UI" w:cs="Segoe UI"/>
          <w:color w:val="000000"/>
          <w:sz w:val="22"/>
          <w:szCs w:val="22"/>
          <w:lang w:eastAsia="es-CO"/>
        </w:rPr>
        <w:t>", dispone que los independientes por cuenta propia y los trabajadores independientes con contratos diferentes a prestación de servicios personales con ingresos netos iguales o superiores a un (1) salario mínimo legal mensual vigente efectuarán su cotización mes vencido, sobre una base mínima de cotización del 40% del valor mensualizado de los ingresos, sin incluir el valor del Impuesto al Valor Agregado – IVA, señalando que en estos casos será procedente la imputación de costos y deducciones siempre que se cumplan los criterios determinados en el </w:t>
      </w:r>
      <w:hyperlink r:id="rId4" w:tooltip="Estatuto Tributario CETA" w:history="1">
        <w:r w:rsidRPr="00457445">
          <w:rPr>
            <w:rFonts w:ascii="Segoe UI" w:eastAsia="Times New Roman" w:hAnsi="Segoe UI" w:cs="Segoe UI"/>
            <w:color w:val="0089E1"/>
            <w:sz w:val="22"/>
            <w:szCs w:val="22"/>
            <w:u w:val="single"/>
            <w:lang w:eastAsia="es-CO"/>
          </w:rPr>
          <w:t>artículo 107 </w:t>
        </w:r>
      </w:hyperlink>
      <w:r w:rsidRPr="00457445">
        <w:rPr>
          <w:rFonts w:ascii="Segoe UI" w:eastAsia="Times New Roman" w:hAnsi="Segoe UI" w:cs="Segoe UI"/>
          <w:color w:val="000000"/>
          <w:sz w:val="22"/>
          <w:szCs w:val="22"/>
          <w:lang w:eastAsia="es-CO"/>
        </w:rPr>
        <w:t>del Estatuto Tributario y sin exceder los valores incluidos en la declaración de renta de la respectiva vigencia.</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color w:val="000000"/>
          <w:sz w:val="22"/>
          <w:szCs w:val="22"/>
          <w:lang w:eastAsia="es-CO"/>
        </w:rPr>
        <w:t> </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color w:val="000000"/>
          <w:sz w:val="22"/>
          <w:szCs w:val="22"/>
          <w:lang w:eastAsia="es-CO"/>
        </w:rPr>
        <w:t>Que el parágrafo de esta misma disposición, dispone que para efectos de la determinación del ingreso base de cotización de los trabajadores independientes por cuenta propia y para quienes celebren contratos diferentes al de prestación de servicios personales, que impliquen subcontratación y/o compra de insumos o expensas, la Unidad Administrativa Especial de Gestión Pensional y Contribuciones Parafiscales de la Protección Social –UGPP deberá determinar un esquema de presunción de costos atendiendo a los datos estadísticos producidos por la Dirección de Impuestos y Aduanas Nacionales - DIAN, por el Departamento Administrativo Nacional de Estadística, por el Banco de la República, por la Superintendencia de Sociedades u otras entidades cuyas estadísticas fueren aplicables.</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color w:val="000000"/>
          <w:sz w:val="18"/>
          <w:szCs w:val="18"/>
          <w:lang w:eastAsia="es-CO"/>
        </w:rPr>
        <w:t> </w:t>
      </w:r>
    </w:p>
    <w:p w:rsidR="00457445" w:rsidRPr="00457445" w:rsidRDefault="00457445" w:rsidP="00457445">
      <w:pPr>
        <w:spacing w:line="240" w:lineRule="auto"/>
        <w:rPr>
          <w:rFonts w:ascii="Arial" w:eastAsia="Times New Roman" w:hAnsi="Arial" w:cs="Arial"/>
          <w:color w:val="000000"/>
          <w:sz w:val="18"/>
          <w:szCs w:val="18"/>
          <w:lang w:eastAsia="es-CO"/>
        </w:rPr>
      </w:pPr>
      <w:proofErr w:type="gramStart"/>
      <w:r w:rsidRPr="00457445">
        <w:rPr>
          <w:rFonts w:ascii="Segoe UI" w:eastAsia="Times New Roman" w:hAnsi="Segoe UI" w:cs="Segoe UI"/>
          <w:color w:val="000000"/>
          <w:sz w:val="18"/>
          <w:szCs w:val="18"/>
          <w:lang w:eastAsia="es-CO"/>
        </w:rPr>
        <w:t>Que</w:t>
      </w:r>
      <w:proofErr w:type="gramEnd"/>
      <w:r w:rsidRPr="00457445">
        <w:rPr>
          <w:rFonts w:ascii="Segoe UI" w:eastAsia="Times New Roman" w:hAnsi="Segoe UI" w:cs="Segoe UI"/>
          <w:color w:val="000000"/>
          <w:sz w:val="18"/>
          <w:szCs w:val="18"/>
          <w:lang w:eastAsia="es-CO"/>
        </w:rPr>
        <w:t xml:space="preserve"> en ejercicio de las facultades otorgadas, la Unidad Administrativa Especial de Gestión Pensional y Contribuciones Parafiscales de la Protección Social –UGPP, a fin de determinar el esquema de presunción, desarrolló una propuesta de presunción de coeficientes de costos por “</w:t>
      </w:r>
      <w:r w:rsidRPr="00457445">
        <w:rPr>
          <w:rFonts w:ascii="Segoe UI" w:eastAsia="Times New Roman" w:hAnsi="Segoe UI" w:cs="Segoe UI"/>
          <w:b/>
          <w:bCs/>
          <w:color w:val="000000"/>
          <w:sz w:val="18"/>
          <w:szCs w:val="18"/>
          <w:lang w:eastAsia="es-CO"/>
        </w:rPr>
        <w:t>actividades económicas</w:t>
      </w:r>
      <w:r w:rsidRPr="00457445">
        <w:rPr>
          <w:rFonts w:ascii="Segoe UI" w:eastAsia="Times New Roman" w:hAnsi="Segoe UI" w:cs="Segoe UI"/>
          <w:color w:val="000000"/>
          <w:sz w:val="18"/>
          <w:szCs w:val="18"/>
          <w:lang w:eastAsia="es-CO"/>
        </w:rPr>
        <w:t>”, construida a partir del análisis de la información tributaria de los trabajadores independientes </w:t>
      </w:r>
      <w:r w:rsidRPr="00457445">
        <w:rPr>
          <w:rFonts w:ascii="Segoe UI" w:eastAsia="Times New Roman" w:hAnsi="Segoe UI" w:cs="Segoe UI"/>
          <w:b/>
          <w:bCs/>
          <w:i/>
          <w:iCs/>
          <w:color w:val="000000"/>
          <w:sz w:val="18"/>
          <w:szCs w:val="18"/>
          <w:lang w:eastAsia="es-CO"/>
        </w:rPr>
        <w:t>con ingresos no laborales</w:t>
      </w:r>
      <w:r w:rsidRPr="00457445">
        <w:rPr>
          <w:rFonts w:ascii="Segoe UI" w:eastAsia="Times New Roman" w:hAnsi="Segoe UI" w:cs="Segoe UI"/>
          <w:color w:val="000000"/>
          <w:sz w:val="18"/>
          <w:szCs w:val="18"/>
          <w:lang w:eastAsia="es-CO"/>
        </w:rPr>
        <w:t>, así como independientes con </w:t>
      </w:r>
      <w:r w:rsidRPr="00457445">
        <w:rPr>
          <w:rFonts w:ascii="Segoe UI" w:eastAsia="Times New Roman" w:hAnsi="Segoe UI" w:cs="Segoe UI"/>
          <w:b/>
          <w:bCs/>
          <w:color w:val="000000"/>
          <w:sz w:val="18"/>
          <w:szCs w:val="18"/>
          <w:lang w:eastAsia="es-CO"/>
        </w:rPr>
        <w:t>rentas de capital.</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color w:val="000000"/>
          <w:sz w:val="22"/>
          <w:szCs w:val="22"/>
          <w:lang w:eastAsia="es-CO"/>
        </w:rPr>
        <w:t> </w:t>
      </w:r>
    </w:p>
    <w:p w:rsidR="00457445" w:rsidRPr="00457445" w:rsidRDefault="00457445" w:rsidP="00457445">
      <w:pPr>
        <w:spacing w:line="240" w:lineRule="auto"/>
        <w:rPr>
          <w:rFonts w:ascii="Arial" w:eastAsia="Times New Roman" w:hAnsi="Arial" w:cs="Arial"/>
          <w:color w:val="000000"/>
          <w:sz w:val="18"/>
          <w:szCs w:val="18"/>
          <w:lang w:eastAsia="es-CO"/>
        </w:rPr>
      </w:pPr>
      <w:proofErr w:type="gramStart"/>
      <w:r w:rsidRPr="00457445">
        <w:rPr>
          <w:rFonts w:ascii="Segoe UI" w:eastAsia="Times New Roman" w:hAnsi="Segoe UI" w:cs="Segoe UI"/>
          <w:color w:val="000000"/>
          <w:sz w:val="22"/>
          <w:szCs w:val="22"/>
          <w:lang w:eastAsia="es-CO"/>
        </w:rPr>
        <w:t>Que</w:t>
      </w:r>
      <w:proofErr w:type="gramEnd"/>
      <w:r w:rsidRPr="00457445">
        <w:rPr>
          <w:rFonts w:ascii="Segoe UI" w:eastAsia="Times New Roman" w:hAnsi="Segoe UI" w:cs="Segoe UI"/>
          <w:color w:val="000000"/>
          <w:sz w:val="22"/>
          <w:szCs w:val="22"/>
          <w:lang w:eastAsia="es-CO"/>
        </w:rPr>
        <w:t xml:space="preserve"> con base en lo anterior, se determina el esquema de presunción de costos para los trabajadores independientes por cuenta propia y con contrato diferente al de prestación de </w:t>
      </w:r>
      <w:r w:rsidRPr="00457445">
        <w:rPr>
          <w:rFonts w:ascii="Segoe UI" w:eastAsia="Times New Roman" w:hAnsi="Segoe UI" w:cs="Segoe UI"/>
          <w:color w:val="000000"/>
          <w:sz w:val="22"/>
          <w:szCs w:val="22"/>
          <w:lang w:eastAsia="es-CO"/>
        </w:rPr>
        <w:lastRenderedPageBreak/>
        <w:t>servicios personales, que impliquen subcontratación y/o compra de insumos o expensas</w:t>
      </w:r>
      <w:r w:rsidRPr="00457445">
        <w:rPr>
          <w:rFonts w:ascii="Segoe UI" w:eastAsia="Times New Roman" w:hAnsi="Segoe UI" w:cs="Segoe UI"/>
          <w:b/>
          <w:bCs/>
          <w:color w:val="000000"/>
          <w:sz w:val="22"/>
          <w:szCs w:val="22"/>
          <w:lang w:eastAsia="es-CO"/>
        </w:rPr>
        <w:t>, </w:t>
      </w:r>
      <w:r w:rsidRPr="00457445">
        <w:rPr>
          <w:rFonts w:ascii="Segoe UI" w:eastAsia="Times New Roman" w:hAnsi="Segoe UI" w:cs="Segoe UI"/>
          <w:color w:val="000000"/>
          <w:sz w:val="22"/>
          <w:szCs w:val="22"/>
          <w:lang w:eastAsia="es-CO"/>
        </w:rPr>
        <w:t>en el que se definen unos porcentajes de costos a reconocer de acuerdo con el ejercicio eficiente de cada actividad económica.</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color w:val="000000"/>
          <w:sz w:val="22"/>
          <w:szCs w:val="22"/>
          <w:lang w:eastAsia="es-CO"/>
        </w:rPr>
        <w:t> </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color w:val="000000"/>
          <w:sz w:val="22"/>
          <w:szCs w:val="22"/>
          <w:lang w:eastAsia="es-CO"/>
        </w:rPr>
        <w:t>Que sin perjuicio del esquema de presunción de costos determinado por la UGPP, los obligados podrán establecer costos diferentes a los allí establecidos, siempre y cuando dispongan de los documentos que soporten los costos y deducciones, los cuales deben cumplir los requisitos establecidos en el </w:t>
      </w:r>
      <w:hyperlink r:id="rId5" w:tooltip="Estatuto Tributario CETA" w:history="1">
        <w:r w:rsidRPr="00457445">
          <w:rPr>
            <w:rFonts w:ascii="Segoe UI" w:eastAsia="Times New Roman" w:hAnsi="Segoe UI" w:cs="Segoe UI"/>
            <w:color w:val="0089E1"/>
            <w:sz w:val="22"/>
            <w:szCs w:val="22"/>
            <w:u w:val="single"/>
            <w:lang w:eastAsia="es-CO"/>
          </w:rPr>
          <w:t>artículo 107</w:t>
        </w:r>
      </w:hyperlink>
      <w:r w:rsidRPr="00457445">
        <w:rPr>
          <w:rFonts w:ascii="Segoe UI" w:eastAsia="Times New Roman" w:hAnsi="Segoe UI" w:cs="Segoe UI"/>
          <w:color w:val="000000"/>
          <w:sz w:val="22"/>
          <w:szCs w:val="22"/>
          <w:lang w:eastAsia="es-CO"/>
        </w:rPr>
        <w:t> del Estatuto Tributario y demás normas que regulen las exigencias para la validez de dichos documentos.</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color w:val="000000"/>
          <w:sz w:val="22"/>
          <w:szCs w:val="22"/>
          <w:lang w:eastAsia="es-CO"/>
        </w:rPr>
        <w:t> </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color w:val="000000"/>
          <w:sz w:val="22"/>
          <w:szCs w:val="22"/>
          <w:lang w:eastAsia="es-CO"/>
        </w:rPr>
        <w:t>Que se cumplió con la formalidad prevista en el Decreto 1081 de 2015, modificado por el Decreto 270 de 2017 y numerales 9 y 8 de los artículos 3 y 8, respectivamente, del Código de Procedimiento Administrativo y de lo Contencioso Administrativo y la Resolución 609 de abril 12 de 2017 en relación con la publicación del texto de la presente Resolución,</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color w:val="000000"/>
          <w:sz w:val="22"/>
          <w:szCs w:val="22"/>
          <w:lang w:eastAsia="es-CO"/>
        </w:rPr>
        <w:t> </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color w:val="000000"/>
          <w:sz w:val="22"/>
          <w:szCs w:val="22"/>
          <w:lang w:eastAsia="es-CO"/>
        </w:rPr>
        <w:t>En mérito de lo expuesto,</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b/>
          <w:bCs/>
          <w:color w:val="000000"/>
          <w:sz w:val="22"/>
          <w:szCs w:val="22"/>
          <w:lang w:eastAsia="es-CO"/>
        </w:rPr>
        <w:t> </w:t>
      </w:r>
    </w:p>
    <w:p w:rsidR="00457445" w:rsidRPr="00457445" w:rsidRDefault="00457445" w:rsidP="00457445">
      <w:pPr>
        <w:spacing w:line="240" w:lineRule="auto"/>
        <w:jc w:val="center"/>
        <w:rPr>
          <w:rFonts w:ascii="Arial" w:eastAsia="Times New Roman" w:hAnsi="Arial" w:cs="Arial"/>
          <w:color w:val="000000"/>
          <w:sz w:val="18"/>
          <w:szCs w:val="18"/>
          <w:lang w:eastAsia="es-CO"/>
        </w:rPr>
      </w:pPr>
      <w:r w:rsidRPr="00457445">
        <w:rPr>
          <w:rFonts w:ascii="Segoe UI" w:eastAsia="Times New Roman" w:hAnsi="Segoe UI" w:cs="Segoe UI"/>
          <w:b/>
          <w:bCs/>
          <w:color w:val="000000"/>
          <w:sz w:val="22"/>
          <w:szCs w:val="22"/>
          <w:lang w:eastAsia="es-CO"/>
        </w:rPr>
        <w:t>RESUELVE:</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b/>
          <w:bCs/>
          <w:color w:val="000000"/>
          <w:sz w:val="22"/>
          <w:szCs w:val="22"/>
          <w:lang w:eastAsia="es-CO"/>
        </w:rPr>
        <w:t> </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b/>
          <w:bCs/>
          <w:color w:val="000000"/>
          <w:sz w:val="22"/>
          <w:szCs w:val="22"/>
          <w:lang w:eastAsia="es-CO"/>
        </w:rPr>
        <w:t>Artículo 1º. Ámbito de Aplicación. </w:t>
      </w:r>
      <w:r w:rsidRPr="00457445">
        <w:rPr>
          <w:rFonts w:ascii="Segoe UI" w:eastAsia="Times New Roman" w:hAnsi="Segoe UI" w:cs="Segoe UI"/>
          <w:color w:val="000000"/>
          <w:sz w:val="22"/>
          <w:szCs w:val="22"/>
          <w:lang w:eastAsia="es-CO"/>
        </w:rPr>
        <w:t>La presente Resolución aplica a los trabajadores independientes por cuenta propia y para quienes celebren contratos diferentes de prestación de servicios personales, que impliquen subcontratación y/o compra de insumos o expensas, respecto a las actividades económicas contempladas en el artículo 2º de la presente Resolución, distintas a la actividad económica relacionada con el transporte público automotor de carga por carretera.</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b/>
          <w:bCs/>
          <w:color w:val="000000"/>
          <w:sz w:val="22"/>
          <w:szCs w:val="22"/>
          <w:lang w:eastAsia="es-CO"/>
        </w:rPr>
        <w:t> </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b/>
          <w:bCs/>
          <w:color w:val="000000"/>
          <w:sz w:val="22"/>
          <w:szCs w:val="22"/>
          <w:lang w:eastAsia="es-CO"/>
        </w:rPr>
        <w:t>Artículo 2°. Adopción del Esquema de Presunción de Costos: </w:t>
      </w:r>
      <w:r w:rsidRPr="00457445">
        <w:rPr>
          <w:rFonts w:ascii="Segoe UI" w:eastAsia="Times New Roman" w:hAnsi="Segoe UI" w:cs="Segoe UI"/>
          <w:color w:val="000000"/>
          <w:sz w:val="22"/>
          <w:szCs w:val="22"/>
          <w:lang w:eastAsia="es-CO"/>
        </w:rPr>
        <w:t>Adoptar el esquema de presunción de costos el cual permitirá determinar el ingreso base de cotización para establecer el ingreso neto al cual deberá aplicarse mínimo el 40% para determinar el ingreso base de cotización para el pago de los aportes a seguridad social integral derivado de los ingresos que los trabajadores independientes generen por su actividad de cuenta propia y por la celebración de contratos diferentes a los de prestación de servicios personales que impliquen subcontratación y/o compra de insumos o expensas, en el desarrollo de cada una de las actividades económicas fijadas en la presente Resolución.</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b/>
          <w:bCs/>
          <w:color w:val="000000"/>
          <w:sz w:val="18"/>
          <w:szCs w:val="18"/>
          <w:lang w:eastAsia="es-CO"/>
        </w:rPr>
        <w:t> </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b/>
          <w:bCs/>
          <w:color w:val="000000"/>
          <w:sz w:val="18"/>
          <w:szCs w:val="18"/>
          <w:lang w:eastAsia="es-CO"/>
        </w:rPr>
        <w:t>Artículo 3º. Esquema de Presunción de Costos</w:t>
      </w:r>
      <w:r w:rsidRPr="00457445">
        <w:rPr>
          <w:rFonts w:ascii="Segoe UI" w:eastAsia="Times New Roman" w:hAnsi="Segoe UI" w:cs="Segoe UI"/>
          <w:color w:val="000000"/>
          <w:sz w:val="18"/>
          <w:szCs w:val="18"/>
          <w:lang w:eastAsia="es-CO"/>
        </w:rPr>
        <w:t>. El esquema de presunción de costos está contenido en la siguiente tabla:</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988"/>
        <w:gridCol w:w="5953"/>
        <w:gridCol w:w="1553"/>
      </w:tblGrid>
      <w:tr w:rsidR="00457445" w:rsidRPr="00457445" w:rsidTr="00457445">
        <w:trPr>
          <w:jc w:val="center"/>
        </w:trPr>
        <w:tc>
          <w:tcPr>
            <w:tcW w:w="9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b/>
                <w:bCs/>
                <w:color w:val="000000"/>
                <w:sz w:val="20"/>
                <w:szCs w:val="20"/>
                <w:lang w:eastAsia="es-CO"/>
              </w:rPr>
              <w:t xml:space="preserve">Sección CIIU </w:t>
            </w:r>
            <w:proofErr w:type="spellStart"/>
            <w:r w:rsidRPr="00457445">
              <w:rPr>
                <w:rFonts w:ascii="Segoe UI" w:eastAsia="Times New Roman" w:hAnsi="Segoe UI" w:cs="Segoe UI"/>
                <w:b/>
                <w:bCs/>
                <w:color w:val="000000"/>
                <w:sz w:val="20"/>
                <w:szCs w:val="20"/>
                <w:lang w:eastAsia="es-CO"/>
              </w:rPr>
              <w:t>Rev</w:t>
            </w:r>
            <w:proofErr w:type="spellEnd"/>
            <w:r w:rsidRPr="00457445">
              <w:rPr>
                <w:rFonts w:ascii="Segoe UI" w:eastAsia="Times New Roman" w:hAnsi="Segoe UI" w:cs="Segoe UI"/>
                <w:b/>
                <w:bCs/>
                <w:color w:val="000000"/>
                <w:sz w:val="20"/>
                <w:szCs w:val="20"/>
                <w:lang w:eastAsia="es-CO"/>
              </w:rPr>
              <w:t xml:space="preserve"> 4 A.C.</w:t>
            </w:r>
          </w:p>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b/>
                <w:bCs/>
                <w:sz w:val="20"/>
                <w:szCs w:val="20"/>
                <w:lang w:eastAsia="es-CO"/>
              </w:rPr>
              <w:t> </w:t>
            </w:r>
          </w:p>
        </w:tc>
        <w:tc>
          <w:tcPr>
            <w:tcW w:w="59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b/>
                <w:bCs/>
                <w:color w:val="000000"/>
                <w:sz w:val="20"/>
                <w:szCs w:val="20"/>
                <w:lang w:eastAsia="es-CO"/>
              </w:rPr>
              <w:t>Actividad</w:t>
            </w:r>
          </w:p>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b/>
                <w:bCs/>
                <w:sz w:val="20"/>
                <w:szCs w:val="20"/>
                <w:lang w:eastAsia="es-CO"/>
              </w:rPr>
              <w:t> </w:t>
            </w:r>
          </w:p>
        </w:tc>
        <w:tc>
          <w:tcPr>
            <w:tcW w:w="15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b/>
                <w:bCs/>
                <w:color w:val="000000"/>
                <w:sz w:val="20"/>
                <w:szCs w:val="20"/>
                <w:lang w:eastAsia="es-CO"/>
              </w:rPr>
              <w:t>Porcentaje de costos respecto de los ingresos (sin incluir IVA)</w:t>
            </w:r>
          </w:p>
        </w:tc>
      </w:tr>
      <w:tr w:rsidR="00457445" w:rsidRPr="00457445" w:rsidTr="00457445">
        <w:trPr>
          <w:jc w:val="center"/>
        </w:trPr>
        <w:tc>
          <w:tcPr>
            <w:tcW w:w="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color w:val="000000"/>
                <w:sz w:val="20"/>
                <w:szCs w:val="20"/>
                <w:lang w:eastAsia="es-CO"/>
              </w:rPr>
              <w:t>A</w:t>
            </w:r>
          </w:p>
        </w:tc>
        <w:tc>
          <w:tcPr>
            <w:tcW w:w="5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7445" w:rsidRPr="00457445" w:rsidRDefault="00457445" w:rsidP="00457445">
            <w:pPr>
              <w:spacing w:line="240" w:lineRule="auto"/>
              <w:jc w:val="left"/>
              <w:rPr>
                <w:rFonts w:eastAsia="Times New Roman"/>
                <w:szCs w:val="24"/>
                <w:lang w:eastAsia="es-CO"/>
              </w:rPr>
            </w:pPr>
            <w:r w:rsidRPr="00457445">
              <w:rPr>
                <w:rFonts w:ascii="Segoe UI" w:eastAsia="Times New Roman" w:hAnsi="Segoe UI" w:cs="Segoe UI"/>
                <w:color w:val="000000"/>
                <w:sz w:val="20"/>
                <w:szCs w:val="20"/>
                <w:lang w:eastAsia="es-CO"/>
              </w:rPr>
              <w:t>Agricultura, ganadería, caza, silvicultura y pesca</w:t>
            </w:r>
          </w:p>
        </w:tc>
        <w:tc>
          <w:tcPr>
            <w:tcW w:w="1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b/>
                <w:bCs/>
                <w:color w:val="000000"/>
                <w:sz w:val="20"/>
                <w:szCs w:val="20"/>
                <w:lang w:eastAsia="es-CO"/>
              </w:rPr>
              <w:t>73,9%</w:t>
            </w:r>
          </w:p>
        </w:tc>
      </w:tr>
      <w:tr w:rsidR="00457445" w:rsidRPr="00457445" w:rsidTr="00457445">
        <w:trPr>
          <w:jc w:val="center"/>
        </w:trPr>
        <w:tc>
          <w:tcPr>
            <w:tcW w:w="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sz w:val="20"/>
                <w:szCs w:val="20"/>
                <w:lang w:eastAsia="es-CO"/>
              </w:rPr>
              <w:lastRenderedPageBreak/>
              <w:t>B</w:t>
            </w:r>
          </w:p>
        </w:tc>
        <w:tc>
          <w:tcPr>
            <w:tcW w:w="5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7445" w:rsidRPr="00457445" w:rsidRDefault="00457445" w:rsidP="00457445">
            <w:pPr>
              <w:spacing w:line="240" w:lineRule="auto"/>
              <w:jc w:val="left"/>
              <w:rPr>
                <w:rFonts w:eastAsia="Times New Roman"/>
                <w:szCs w:val="24"/>
                <w:lang w:eastAsia="es-CO"/>
              </w:rPr>
            </w:pPr>
            <w:r w:rsidRPr="00457445">
              <w:rPr>
                <w:rFonts w:ascii="Segoe UI" w:eastAsia="Times New Roman" w:hAnsi="Segoe UI" w:cs="Segoe UI"/>
                <w:color w:val="000000"/>
                <w:sz w:val="20"/>
                <w:szCs w:val="20"/>
                <w:lang w:eastAsia="es-CO"/>
              </w:rPr>
              <w:t>Explotación de minas y canteras</w:t>
            </w:r>
          </w:p>
        </w:tc>
        <w:tc>
          <w:tcPr>
            <w:tcW w:w="1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b/>
                <w:bCs/>
                <w:color w:val="000000"/>
                <w:sz w:val="20"/>
                <w:szCs w:val="20"/>
                <w:lang w:eastAsia="es-CO"/>
              </w:rPr>
              <w:t>74,0%</w:t>
            </w:r>
          </w:p>
        </w:tc>
      </w:tr>
      <w:tr w:rsidR="00457445" w:rsidRPr="00457445" w:rsidTr="00457445">
        <w:trPr>
          <w:jc w:val="center"/>
        </w:trPr>
        <w:tc>
          <w:tcPr>
            <w:tcW w:w="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sz w:val="20"/>
                <w:szCs w:val="20"/>
                <w:lang w:eastAsia="es-CO"/>
              </w:rPr>
              <w:t>C</w:t>
            </w:r>
          </w:p>
        </w:tc>
        <w:tc>
          <w:tcPr>
            <w:tcW w:w="5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7445" w:rsidRPr="00457445" w:rsidRDefault="00457445" w:rsidP="00457445">
            <w:pPr>
              <w:spacing w:line="240" w:lineRule="auto"/>
              <w:jc w:val="left"/>
              <w:rPr>
                <w:rFonts w:eastAsia="Times New Roman"/>
                <w:szCs w:val="24"/>
                <w:lang w:eastAsia="es-CO"/>
              </w:rPr>
            </w:pPr>
            <w:r w:rsidRPr="00457445">
              <w:rPr>
                <w:rFonts w:ascii="Segoe UI" w:eastAsia="Times New Roman" w:hAnsi="Segoe UI" w:cs="Segoe UI"/>
                <w:color w:val="000000"/>
                <w:sz w:val="20"/>
                <w:szCs w:val="20"/>
                <w:lang w:eastAsia="es-CO"/>
              </w:rPr>
              <w:t>Industrias manufactureras</w:t>
            </w:r>
          </w:p>
        </w:tc>
        <w:tc>
          <w:tcPr>
            <w:tcW w:w="1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b/>
                <w:bCs/>
                <w:color w:val="000000"/>
                <w:sz w:val="20"/>
                <w:szCs w:val="20"/>
                <w:lang w:eastAsia="es-CO"/>
              </w:rPr>
              <w:t>70,0%</w:t>
            </w:r>
          </w:p>
        </w:tc>
      </w:tr>
      <w:tr w:rsidR="00457445" w:rsidRPr="00457445" w:rsidTr="00457445">
        <w:trPr>
          <w:jc w:val="center"/>
        </w:trPr>
        <w:tc>
          <w:tcPr>
            <w:tcW w:w="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sz w:val="20"/>
                <w:szCs w:val="20"/>
                <w:lang w:eastAsia="es-CO"/>
              </w:rPr>
              <w:t>F</w:t>
            </w:r>
          </w:p>
        </w:tc>
        <w:tc>
          <w:tcPr>
            <w:tcW w:w="5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7445" w:rsidRPr="00457445" w:rsidRDefault="00457445" w:rsidP="00457445">
            <w:pPr>
              <w:spacing w:line="240" w:lineRule="auto"/>
              <w:jc w:val="left"/>
              <w:rPr>
                <w:rFonts w:eastAsia="Times New Roman"/>
                <w:szCs w:val="24"/>
                <w:lang w:eastAsia="es-CO"/>
              </w:rPr>
            </w:pPr>
            <w:r w:rsidRPr="00457445">
              <w:rPr>
                <w:rFonts w:ascii="Segoe UI" w:eastAsia="Times New Roman" w:hAnsi="Segoe UI" w:cs="Segoe UI"/>
                <w:color w:val="000000"/>
                <w:sz w:val="20"/>
                <w:szCs w:val="20"/>
                <w:lang w:eastAsia="es-CO"/>
              </w:rPr>
              <w:t>Construcción</w:t>
            </w:r>
          </w:p>
        </w:tc>
        <w:tc>
          <w:tcPr>
            <w:tcW w:w="1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b/>
                <w:bCs/>
                <w:color w:val="000000"/>
                <w:sz w:val="20"/>
                <w:szCs w:val="20"/>
                <w:lang w:eastAsia="es-CO"/>
              </w:rPr>
              <w:t>67,9%</w:t>
            </w:r>
          </w:p>
        </w:tc>
      </w:tr>
      <w:tr w:rsidR="00457445" w:rsidRPr="00457445" w:rsidTr="00457445">
        <w:trPr>
          <w:jc w:val="center"/>
        </w:trPr>
        <w:tc>
          <w:tcPr>
            <w:tcW w:w="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sz w:val="20"/>
                <w:szCs w:val="20"/>
                <w:lang w:eastAsia="es-CO"/>
              </w:rPr>
              <w:t>G</w:t>
            </w:r>
          </w:p>
        </w:tc>
        <w:tc>
          <w:tcPr>
            <w:tcW w:w="5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7445" w:rsidRPr="00457445" w:rsidRDefault="00457445" w:rsidP="00457445">
            <w:pPr>
              <w:spacing w:line="240" w:lineRule="auto"/>
              <w:jc w:val="left"/>
              <w:rPr>
                <w:rFonts w:eastAsia="Times New Roman"/>
                <w:szCs w:val="24"/>
                <w:lang w:eastAsia="es-CO"/>
              </w:rPr>
            </w:pPr>
            <w:r w:rsidRPr="00457445">
              <w:rPr>
                <w:rFonts w:ascii="Segoe UI" w:eastAsia="Times New Roman" w:hAnsi="Segoe UI" w:cs="Segoe UI"/>
                <w:color w:val="000000"/>
                <w:sz w:val="20"/>
                <w:szCs w:val="20"/>
                <w:lang w:eastAsia="es-CO"/>
              </w:rPr>
              <w:t>Comercio al por mayor y al por menor; reparación de vehículos automotores y motocicletas</w:t>
            </w:r>
          </w:p>
        </w:tc>
        <w:tc>
          <w:tcPr>
            <w:tcW w:w="1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b/>
                <w:bCs/>
                <w:color w:val="000000"/>
                <w:sz w:val="20"/>
                <w:szCs w:val="20"/>
                <w:lang w:eastAsia="es-CO"/>
              </w:rPr>
              <w:t>75,9%</w:t>
            </w:r>
          </w:p>
        </w:tc>
      </w:tr>
      <w:tr w:rsidR="00457445" w:rsidRPr="00457445" w:rsidTr="00457445">
        <w:trPr>
          <w:jc w:val="center"/>
        </w:trPr>
        <w:tc>
          <w:tcPr>
            <w:tcW w:w="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sz w:val="20"/>
                <w:szCs w:val="20"/>
                <w:lang w:eastAsia="es-CO"/>
              </w:rPr>
              <w:t>H</w:t>
            </w:r>
          </w:p>
        </w:tc>
        <w:tc>
          <w:tcPr>
            <w:tcW w:w="5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7445" w:rsidRPr="00457445" w:rsidRDefault="00457445" w:rsidP="00457445">
            <w:pPr>
              <w:spacing w:line="240" w:lineRule="auto"/>
              <w:jc w:val="left"/>
              <w:rPr>
                <w:rFonts w:eastAsia="Times New Roman"/>
                <w:szCs w:val="24"/>
                <w:lang w:eastAsia="es-CO"/>
              </w:rPr>
            </w:pPr>
            <w:r w:rsidRPr="00457445">
              <w:rPr>
                <w:rFonts w:ascii="Segoe UI" w:eastAsia="Times New Roman" w:hAnsi="Segoe UI" w:cs="Segoe UI"/>
                <w:color w:val="000000"/>
                <w:sz w:val="20"/>
                <w:szCs w:val="20"/>
                <w:lang w:eastAsia="es-CO"/>
              </w:rPr>
              <w:t>Transporte y almacenamiento (Sin transporte de carga por carretera)</w:t>
            </w:r>
          </w:p>
        </w:tc>
        <w:tc>
          <w:tcPr>
            <w:tcW w:w="1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b/>
                <w:bCs/>
                <w:color w:val="000000"/>
                <w:sz w:val="20"/>
                <w:szCs w:val="20"/>
                <w:lang w:eastAsia="es-CO"/>
              </w:rPr>
              <w:t>66,5%</w:t>
            </w:r>
          </w:p>
        </w:tc>
      </w:tr>
      <w:tr w:rsidR="00457445" w:rsidRPr="00457445" w:rsidTr="00457445">
        <w:trPr>
          <w:jc w:val="center"/>
        </w:trPr>
        <w:tc>
          <w:tcPr>
            <w:tcW w:w="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sz w:val="20"/>
                <w:szCs w:val="20"/>
                <w:lang w:eastAsia="es-CO"/>
              </w:rPr>
              <w:t>I</w:t>
            </w:r>
          </w:p>
        </w:tc>
        <w:tc>
          <w:tcPr>
            <w:tcW w:w="5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7445" w:rsidRPr="00457445" w:rsidRDefault="00457445" w:rsidP="00457445">
            <w:pPr>
              <w:spacing w:line="240" w:lineRule="auto"/>
              <w:jc w:val="left"/>
              <w:rPr>
                <w:rFonts w:eastAsia="Times New Roman"/>
                <w:szCs w:val="24"/>
                <w:lang w:eastAsia="es-CO"/>
              </w:rPr>
            </w:pPr>
            <w:r w:rsidRPr="00457445">
              <w:rPr>
                <w:rFonts w:ascii="Segoe UI" w:eastAsia="Times New Roman" w:hAnsi="Segoe UI" w:cs="Segoe UI"/>
                <w:color w:val="000000"/>
                <w:sz w:val="20"/>
                <w:szCs w:val="20"/>
                <w:lang w:eastAsia="es-CO"/>
              </w:rPr>
              <w:t>Alojamiento y servicios de comida</w:t>
            </w:r>
          </w:p>
        </w:tc>
        <w:tc>
          <w:tcPr>
            <w:tcW w:w="1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b/>
                <w:bCs/>
                <w:color w:val="000000"/>
                <w:sz w:val="20"/>
                <w:szCs w:val="20"/>
                <w:lang w:eastAsia="es-CO"/>
              </w:rPr>
              <w:t>71,0%</w:t>
            </w:r>
          </w:p>
        </w:tc>
      </w:tr>
      <w:tr w:rsidR="00457445" w:rsidRPr="00457445" w:rsidTr="00457445">
        <w:trPr>
          <w:jc w:val="center"/>
        </w:trPr>
        <w:tc>
          <w:tcPr>
            <w:tcW w:w="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sz w:val="20"/>
                <w:szCs w:val="20"/>
                <w:lang w:eastAsia="es-CO"/>
              </w:rPr>
              <w:t>J</w:t>
            </w:r>
          </w:p>
        </w:tc>
        <w:tc>
          <w:tcPr>
            <w:tcW w:w="5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7445" w:rsidRPr="00457445" w:rsidRDefault="00457445" w:rsidP="00457445">
            <w:pPr>
              <w:spacing w:line="240" w:lineRule="auto"/>
              <w:jc w:val="left"/>
              <w:rPr>
                <w:rFonts w:eastAsia="Times New Roman"/>
                <w:szCs w:val="24"/>
                <w:lang w:eastAsia="es-CO"/>
              </w:rPr>
            </w:pPr>
            <w:r w:rsidRPr="00457445">
              <w:rPr>
                <w:rFonts w:ascii="Segoe UI" w:eastAsia="Times New Roman" w:hAnsi="Segoe UI" w:cs="Segoe UI"/>
                <w:color w:val="000000"/>
                <w:sz w:val="20"/>
                <w:szCs w:val="20"/>
                <w:lang w:eastAsia="es-CO"/>
              </w:rPr>
              <w:t>Información y comunicaciones</w:t>
            </w:r>
          </w:p>
        </w:tc>
        <w:tc>
          <w:tcPr>
            <w:tcW w:w="1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b/>
                <w:bCs/>
                <w:color w:val="000000"/>
                <w:sz w:val="20"/>
                <w:szCs w:val="20"/>
                <w:lang w:eastAsia="es-CO"/>
              </w:rPr>
              <w:t>63,2%</w:t>
            </w:r>
          </w:p>
        </w:tc>
      </w:tr>
      <w:tr w:rsidR="00457445" w:rsidRPr="00457445" w:rsidTr="00457445">
        <w:trPr>
          <w:jc w:val="center"/>
        </w:trPr>
        <w:tc>
          <w:tcPr>
            <w:tcW w:w="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sz w:val="20"/>
                <w:szCs w:val="20"/>
                <w:lang w:eastAsia="es-CO"/>
              </w:rPr>
              <w:t>K</w:t>
            </w:r>
          </w:p>
        </w:tc>
        <w:tc>
          <w:tcPr>
            <w:tcW w:w="5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7445" w:rsidRPr="00457445" w:rsidRDefault="00457445" w:rsidP="00457445">
            <w:pPr>
              <w:spacing w:line="240" w:lineRule="auto"/>
              <w:jc w:val="left"/>
              <w:rPr>
                <w:rFonts w:eastAsia="Times New Roman"/>
                <w:szCs w:val="24"/>
                <w:lang w:eastAsia="es-CO"/>
              </w:rPr>
            </w:pPr>
            <w:r w:rsidRPr="00457445">
              <w:rPr>
                <w:rFonts w:ascii="Segoe UI" w:eastAsia="Times New Roman" w:hAnsi="Segoe UI" w:cs="Segoe UI"/>
                <w:color w:val="000000"/>
                <w:sz w:val="20"/>
                <w:szCs w:val="20"/>
                <w:lang w:eastAsia="es-CO"/>
              </w:rPr>
              <w:t>Actividades financieras y de seguros</w:t>
            </w:r>
          </w:p>
        </w:tc>
        <w:tc>
          <w:tcPr>
            <w:tcW w:w="1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b/>
                <w:bCs/>
                <w:color w:val="000000"/>
                <w:sz w:val="20"/>
                <w:szCs w:val="20"/>
                <w:lang w:eastAsia="es-CO"/>
              </w:rPr>
              <w:t>57,2%</w:t>
            </w:r>
          </w:p>
        </w:tc>
      </w:tr>
      <w:tr w:rsidR="00457445" w:rsidRPr="00457445" w:rsidTr="00457445">
        <w:trPr>
          <w:jc w:val="center"/>
        </w:trPr>
        <w:tc>
          <w:tcPr>
            <w:tcW w:w="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sz w:val="20"/>
                <w:szCs w:val="20"/>
                <w:lang w:eastAsia="es-CO"/>
              </w:rPr>
              <w:t>L</w:t>
            </w:r>
          </w:p>
        </w:tc>
        <w:tc>
          <w:tcPr>
            <w:tcW w:w="5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7445" w:rsidRPr="00457445" w:rsidRDefault="00457445" w:rsidP="00457445">
            <w:pPr>
              <w:spacing w:line="240" w:lineRule="auto"/>
              <w:jc w:val="left"/>
              <w:rPr>
                <w:rFonts w:eastAsia="Times New Roman"/>
                <w:szCs w:val="24"/>
                <w:lang w:eastAsia="es-CO"/>
              </w:rPr>
            </w:pPr>
            <w:r w:rsidRPr="00457445">
              <w:rPr>
                <w:rFonts w:ascii="Segoe UI" w:eastAsia="Times New Roman" w:hAnsi="Segoe UI" w:cs="Segoe UI"/>
                <w:color w:val="000000"/>
                <w:sz w:val="20"/>
                <w:szCs w:val="20"/>
                <w:lang w:eastAsia="es-CO"/>
              </w:rPr>
              <w:t>Actividades inmobiliarias</w:t>
            </w:r>
          </w:p>
        </w:tc>
        <w:tc>
          <w:tcPr>
            <w:tcW w:w="1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b/>
                <w:bCs/>
                <w:color w:val="000000"/>
                <w:sz w:val="20"/>
                <w:szCs w:val="20"/>
                <w:lang w:eastAsia="es-CO"/>
              </w:rPr>
              <w:t>65,7%</w:t>
            </w:r>
          </w:p>
        </w:tc>
      </w:tr>
      <w:tr w:rsidR="00457445" w:rsidRPr="00457445" w:rsidTr="00457445">
        <w:trPr>
          <w:jc w:val="center"/>
        </w:trPr>
        <w:tc>
          <w:tcPr>
            <w:tcW w:w="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sz w:val="20"/>
                <w:szCs w:val="20"/>
                <w:lang w:eastAsia="es-CO"/>
              </w:rPr>
              <w:t>M</w:t>
            </w:r>
          </w:p>
        </w:tc>
        <w:tc>
          <w:tcPr>
            <w:tcW w:w="5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7445" w:rsidRPr="00457445" w:rsidRDefault="00457445" w:rsidP="00457445">
            <w:pPr>
              <w:spacing w:line="240" w:lineRule="auto"/>
              <w:jc w:val="left"/>
              <w:rPr>
                <w:rFonts w:eastAsia="Times New Roman"/>
                <w:szCs w:val="24"/>
                <w:lang w:eastAsia="es-CO"/>
              </w:rPr>
            </w:pPr>
            <w:r w:rsidRPr="00457445">
              <w:rPr>
                <w:rFonts w:ascii="Segoe UI" w:eastAsia="Times New Roman" w:hAnsi="Segoe UI" w:cs="Segoe UI"/>
                <w:color w:val="000000"/>
                <w:sz w:val="20"/>
                <w:szCs w:val="20"/>
                <w:lang w:eastAsia="es-CO"/>
              </w:rPr>
              <w:t>Actividades profesionales, científicas y técnicas</w:t>
            </w:r>
          </w:p>
        </w:tc>
        <w:tc>
          <w:tcPr>
            <w:tcW w:w="1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b/>
                <w:bCs/>
                <w:color w:val="000000"/>
                <w:sz w:val="20"/>
                <w:szCs w:val="20"/>
                <w:lang w:eastAsia="es-CO"/>
              </w:rPr>
              <w:t>61,9%</w:t>
            </w:r>
          </w:p>
        </w:tc>
      </w:tr>
      <w:tr w:rsidR="00457445" w:rsidRPr="00457445" w:rsidTr="00457445">
        <w:trPr>
          <w:jc w:val="center"/>
        </w:trPr>
        <w:tc>
          <w:tcPr>
            <w:tcW w:w="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sz w:val="20"/>
                <w:szCs w:val="20"/>
                <w:lang w:eastAsia="es-CO"/>
              </w:rPr>
              <w:t>N</w:t>
            </w:r>
          </w:p>
        </w:tc>
        <w:tc>
          <w:tcPr>
            <w:tcW w:w="5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7445" w:rsidRPr="00457445" w:rsidRDefault="00457445" w:rsidP="00457445">
            <w:pPr>
              <w:spacing w:line="240" w:lineRule="auto"/>
              <w:jc w:val="left"/>
              <w:rPr>
                <w:rFonts w:eastAsia="Times New Roman"/>
                <w:szCs w:val="24"/>
                <w:lang w:eastAsia="es-CO"/>
              </w:rPr>
            </w:pPr>
            <w:r w:rsidRPr="00457445">
              <w:rPr>
                <w:rFonts w:ascii="Segoe UI" w:eastAsia="Times New Roman" w:hAnsi="Segoe UI" w:cs="Segoe UI"/>
                <w:color w:val="000000"/>
                <w:sz w:val="20"/>
                <w:szCs w:val="20"/>
                <w:lang w:eastAsia="es-CO"/>
              </w:rPr>
              <w:t>Actividades de servicios administrativos y de apoyo</w:t>
            </w:r>
          </w:p>
        </w:tc>
        <w:tc>
          <w:tcPr>
            <w:tcW w:w="1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b/>
                <w:bCs/>
                <w:color w:val="000000"/>
                <w:sz w:val="20"/>
                <w:szCs w:val="20"/>
                <w:lang w:eastAsia="es-CO"/>
              </w:rPr>
              <w:t>64,2%</w:t>
            </w:r>
          </w:p>
        </w:tc>
      </w:tr>
      <w:tr w:rsidR="00457445" w:rsidRPr="00457445" w:rsidTr="00457445">
        <w:trPr>
          <w:jc w:val="center"/>
        </w:trPr>
        <w:tc>
          <w:tcPr>
            <w:tcW w:w="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sz w:val="20"/>
                <w:szCs w:val="20"/>
                <w:lang w:eastAsia="es-CO"/>
              </w:rPr>
              <w:t>P</w:t>
            </w:r>
          </w:p>
        </w:tc>
        <w:tc>
          <w:tcPr>
            <w:tcW w:w="5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7445" w:rsidRPr="00457445" w:rsidRDefault="00457445" w:rsidP="00457445">
            <w:pPr>
              <w:spacing w:line="240" w:lineRule="auto"/>
              <w:jc w:val="left"/>
              <w:rPr>
                <w:rFonts w:eastAsia="Times New Roman"/>
                <w:szCs w:val="24"/>
                <w:lang w:eastAsia="es-CO"/>
              </w:rPr>
            </w:pPr>
            <w:r w:rsidRPr="00457445">
              <w:rPr>
                <w:rFonts w:ascii="Segoe UI" w:eastAsia="Times New Roman" w:hAnsi="Segoe UI" w:cs="Segoe UI"/>
                <w:color w:val="000000"/>
                <w:sz w:val="20"/>
                <w:szCs w:val="20"/>
                <w:lang w:eastAsia="es-CO"/>
              </w:rPr>
              <w:t>Educación</w:t>
            </w:r>
          </w:p>
        </w:tc>
        <w:tc>
          <w:tcPr>
            <w:tcW w:w="1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b/>
                <w:bCs/>
                <w:color w:val="000000"/>
                <w:sz w:val="20"/>
                <w:szCs w:val="20"/>
                <w:lang w:eastAsia="es-CO"/>
              </w:rPr>
              <w:t>68,3%</w:t>
            </w:r>
          </w:p>
        </w:tc>
      </w:tr>
      <w:tr w:rsidR="00457445" w:rsidRPr="00457445" w:rsidTr="00457445">
        <w:trPr>
          <w:jc w:val="center"/>
        </w:trPr>
        <w:tc>
          <w:tcPr>
            <w:tcW w:w="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sz w:val="20"/>
                <w:szCs w:val="20"/>
                <w:lang w:eastAsia="es-CO"/>
              </w:rPr>
              <w:t>Q</w:t>
            </w:r>
          </w:p>
        </w:tc>
        <w:tc>
          <w:tcPr>
            <w:tcW w:w="5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7445" w:rsidRPr="00457445" w:rsidRDefault="00457445" w:rsidP="00457445">
            <w:pPr>
              <w:spacing w:line="240" w:lineRule="auto"/>
              <w:jc w:val="left"/>
              <w:rPr>
                <w:rFonts w:eastAsia="Times New Roman"/>
                <w:szCs w:val="24"/>
                <w:lang w:eastAsia="es-CO"/>
              </w:rPr>
            </w:pPr>
            <w:r w:rsidRPr="00457445">
              <w:rPr>
                <w:rFonts w:ascii="Segoe UI" w:eastAsia="Times New Roman" w:hAnsi="Segoe UI" w:cs="Segoe UI"/>
                <w:color w:val="000000"/>
                <w:sz w:val="20"/>
                <w:szCs w:val="20"/>
                <w:lang w:eastAsia="es-CO"/>
              </w:rPr>
              <w:t>Actividades de atención de la salud humana y de asistencia social</w:t>
            </w:r>
          </w:p>
        </w:tc>
        <w:tc>
          <w:tcPr>
            <w:tcW w:w="1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b/>
                <w:bCs/>
                <w:color w:val="000000"/>
                <w:sz w:val="20"/>
                <w:szCs w:val="20"/>
                <w:lang w:eastAsia="es-CO"/>
              </w:rPr>
              <w:t>59,7%</w:t>
            </w:r>
          </w:p>
        </w:tc>
      </w:tr>
      <w:tr w:rsidR="00457445" w:rsidRPr="00457445" w:rsidTr="00457445">
        <w:trPr>
          <w:jc w:val="center"/>
        </w:trPr>
        <w:tc>
          <w:tcPr>
            <w:tcW w:w="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sz w:val="20"/>
                <w:szCs w:val="20"/>
                <w:lang w:eastAsia="es-CO"/>
              </w:rPr>
              <w:t>R</w:t>
            </w:r>
          </w:p>
        </w:tc>
        <w:tc>
          <w:tcPr>
            <w:tcW w:w="5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7445" w:rsidRPr="00457445" w:rsidRDefault="00457445" w:rsidP="00457445">
            <w:pPr>
              <w:spacing w:line="240" w:lineRule="auto"/>
              <w:jc w:val="left"/>
              <w:rPr>
                <w:rFonts w:eastAsia="Times New Roman"/>
                <w:szCs w:val="24"/>
                <w:lang w:eastAsia="es-CO"/>
              </w:rPr>
            </w:pPr>
            <w:r w:rsidRPr="00457445">
              <w:rPr>
                <w:rFonts w:ascii="Segoe UI" w:eastAsia="Times New Roman" w:hAnsi="Segoe UI" w:cs="Segoe UI"/>
                <w:color w:val="000000"/>
                <w:sz w:val="20"/>
                <w:szCs w:val="20"/>
                <w:lang w:eastAsia="es-CO"/>
              </w:rPr>
              <w:t>Actividades artísticas, de entretenimiento y recreación</w:t>
            </w:r>
          </w:p>
        </w:tc>
        <w:tc>
          <w:tcPr>
            <w:tcW w:w="1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b/>
                <w:bCs/>
                <w:color w:val="000000"/>
                <w:sz w:val="20"/>
                <w:szCs w:val="20"/>
                <w:lang w:eastAsia="es-CO"/>
              </w:rPr>
              <w:t>65,5%</w:t>
            </w:r>
          </w:p>
        </w:tc>
      </w:tr>
      <w:tr w:rsidR="00457445" w:rsidRPr="00457445" w:rsidTr="00457445">
        <w:trPr>
          <w:jc w:val="center"/>
        </w:trPr>
        <w:tc>
          <w:tcPr>
            <w:tcW w:w="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sz w:val="20"/>
                <w:szCs w:val="20"/>
                <w:lang w:eastAsia="es-CO"/>
              </w:rPr>
              <w:t>S</w:t>
            </w:r>
          </w:p>
        </w:tc>
        <w:tc>
          <w:tcPr>
            <w:tcW w:w="5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7445" w:rsidRPr="00457445" w:rsidRDefault="00457445" w:rsidP="00457445">
            <w:pPr>
              <w:spacing w:line="240" w:lineRule="auto"/>
              <w:jc w:val="left"/>
              <w:rPr>
                <w:rFonts w:eastAsia="Times New Roman"/>
                <w:szCs w:val="24"/>
                <w:lang w:eastAsia="es-CO"/>
              </w:rPr>
            </w:pPr>
            <w:r w:rsidRPr="00457445">
              <w:rPr>
                <w:rFonts w:ascii="Segoe UI" w:eastAsia="Times New Roman" w:hAnsi="Segoe UI" w:cs="Segoe UI"/>
                <w:color w:val="000000"/>
                <w:sz w:val="20"/>
                <w:szCs w:val="20"/>
                <w:lang w:eastAsia="es-CO"/>
              </w:rPr>
              <w:t>Otras actividades de servicios</w:t>
            </w:r>
          </w:p>
        </w:tc>
        <w:tc>
          <w:tcPr>
            <w:tcW w:w="1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b/>
                <w:bCs/>
                <w:color w:val="000000"/>
                <w:sz w:val="20"/>
                <w:szCs w:val="20"/>
                <w:lang w:eastAsia="es-CO"/>
              </w:rPr>
              <w:t>63,8%</w:t>
            </w:r>
          </w:p>
        </w:tc>
      </w:tr>
      <w:tr w:rsidR="00457445" w:rsidRPr="00457445" w:rsidTr="00457445">
        <w:trPr>
          <w:jc w:val="center"/>
        </w:trPr>
        <w:tc>
          <w:tcPr>
            <w:tcW w:w="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sz w:val="20"/>
                <w:szCs w:val="20"/>
                <w:lang w:eastAsia="es-CO"/>
              </w:rPr>
              <w:t> </w:t>
            </w:r>
          </w:p>
        </w:tc>
        <w:tc>
          <w:tcPr>
            <w:tcW w:w="5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7445" w:rsidRPr="00457445" w:rsidRDefault="00457445" w:rsidP="00457445">
            <w:pPr>
              <w:spacing w:line="240" w:lineRule="auto"/>
              <w:jc w:val="left"/>
              <w:rPr>
                <w:rFonts w:eastAsia="Times New Roman"/>
                <w:szCs w:val="24"/>
                <w:lang w:eastAsia="es-CO"/>
              </w:rPr>
            </w:pPr>
            <w:r w:rsidRPr="00457445">
              <w:rPr>
                <w:rFonts w:ascii="Segoe UI" w:eastAsia="Times New Roman" w:hAnsi="Segoe UI" w:cs="Segoe UI"/>
                <w:color w:val="000000"/>
                <w:sz w:val="20"/>
                <w:szCs w:val="20"/>
                <w:lang w:eastAsia="es-CO"/>
              </w:rPr>
              <w:t>Demás Actividades Económicas</w:t>
            </w:r>
          </w:p>
        </w:tc>
        <w:tc>
          <w:tcPr>
            <w:tcW w:w="1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b/>
                <w:bCs/>
                <w:color w:val="000000"/>
                <w:sz w:val="20"/>
                <w:szCs w:val="20"/>
                <w:lang w:eastAsia="es-CO"/>
              </w:rPr>
              <w:t>64,7%</w:t>
            </w:r>
          </w:p>
        </w:tc>
      </w:tr>
      <w:tr w:rsidR="00457445" w:rsidRPr="00457445" w:rsidTr="00457445">
        <w:trPr>
          <w:jc w:val="center"/>
        </w:trPr>
        <w:tc>
          <w:tcPr>
            <w:tcW w:w="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sz w:val="20"/>
                <w:szCs w:val="20"/>
                <w:lang w:eastAsia="es-CO"/>
              </w:rPr>
              <w:t> </w:t>
            </w:r>
          </w:p>
        </w:tc>
        <w:tc>
          <w:tcPr>
            <w:tcW w:w="5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7445" w:rsidRPr="00457445" w:rsidRDefault="00457445" w:rsidP="00457445">
            <w:pPr>
              <w:spacing w:line="240" w:lineRule="auto"/>
              <w:jc w:val="left"/>
              <w:rPr>
                <w:rFonts w:eastAsia="Times New Roman"/>
                <w:szCs w:val="24"/>
                <w:lang w:eastAsia="es-CO"/>
              </w:rPr>
            </w:pPr>
            <w:r w:rsidRPr="00457445">
              <w:rPr>
                <w:rFonts w:ascii="Segoe UI" w:eastAsia="Times New Roman" w:hAnsi="Segoe UI" w:cs="Segoe UI"/>
                <w:color w:val="000000"/>
                <w:sz w:val="20"/>
                <w:szCs w:val="20"/>
                <w:lang w:eastAsia="es-CO"/>
              </w:rPr>
              <w:t>Rentistas de Capital (No incluye ingresos por dividendos y participaciones)</w:t>
            </w:r>
          </w:p>
        </w:tc>
        <w:tc>
          <w:tcPr>
            <w:tcW w:w="1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7445" w:rsidRPr="00457445" w:rsidRDefault="00457445" w:rsidP="00457445">
            <w:pPr>
              <w:spacing w:line="240" w:lineRule="auto"/>
              <w:jc w:val="center"/>
              <w:rPr>
                <w:rFonts w:eastAsia="Times New Roman"/>
                <w:szCs w:val="24"/>
                <w:lang w:eastAsia="es-CO"/>
              </w:rPr>
            </w:pPr>
            <w:r w:rsidRPr="00457445">
              <w:rPr>
                <w:rFonts w:ascii="Segoe UI" w:eastAsia="Times New Roman" w:hAnsi="Segoe UI" w:cs="Segoe UI"/>
                <w:b/>
                <w:bCs/>
                <w:color w:val="000000"/>
                <w:sz w:val="20"/>
                <w:szCs w:val="20"/>
                <w:lang w:eastAsia="es-CO"/>
              </w:rPr>
              <w:t>27,5%</w:t>
            </w:r>
          </w:p>
        </w:tc>
      </w:tr>
    </w:tbl>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color w:val="000000"/>
          <w:sz w:val="18"/>
          <w:szCs w:val="18"/>
          <w:lang w:eastAsia="es-CO"/>
        </w:rPr>
        <w:t> </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color w:val="000000"/>
          <w:sz w:val="22"/>
          <w:szCs w:val="22"/>
          <w:lang w:eastAsia="es-CO"/>
        </w:rPr>
        <w:t> </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color w:val="000000"/>
          <w:sz w:val="22"/>
          <w:szCs w:val="22"/>
          <w:lang w:eastAsia="es-CO"/>
        </w:rPr>
        <w:t>En la tabla se registran los </w:t>
      </w:r>
      <w:r w:rsidRPr="00457445">
        <w:rPr>
          <w:rFonts w:ascii="Segoe UI" w:eastAsia="Times New Roman" w:hAnsi="Segoe UI" w:cs="Segoe UI"/>
          <w:i/>
          <w:iCs/>
          <w:color w:val="000000"/>
          <w:sz w:val="22"/>
          <w:szCs w:val="22"/>
          <w:lang w:eastAsia="es-CO"/>
        </w:rPr>
        <w:t>“coeficientes de costos”, </w:t>
      </w:r>
      <w:r w:rsidRPr="00457445">
        <w:rPr>
          <w:rFonts w:ascii="Segoe UI" w:eastAsia="Times New Roman" w:hAnsi="Segoe UI" w:cs="Segoe UI"/>
          <w:color w:val="000000"/>
          <w:sz w:val="22"/>
          <w:szCs w:val="22"/>
          <w:lang w:eastAsia="es-CO"/>
        </w:rPr>
        <w:t>que son los porcentajes que los costos representan frente a los ingresos brutos, en relación con los grupos de Actividad Económica, incluyendo el valor que corresponde a los Rentistas de Capital.</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color w:val="000000"/>
          <w:sz w:val="22"/>
          <w:szCs w:val="22"/>
          <w:lang w:eastAsia="es-CO"/>
        </w:rPr>
        <w:t> </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color w:val="000000"/>
          <w:sz w:val="22"/>
          <w:szCs w:val="22"/>
          <w:lang w:eastAsia="es-CO"/>
        </w:rPr>
        <w:t>Para hacer uso de los coeficientes de costos presuntos, el independiente se ubicará en la sección de actividades económicas en cuyo desarrollo se originaron sus ingresos como independiente y adoptará el coeficiente de costos correspondiente. Si la actividad económica no está listada en ninguna de las secciones A - S de la tabla supra, adoptará el coeficiente correspondiente a la Actividad </w:t>
      </w:r>
      <w:r w:rsidRPr="00457445">
        <w:rPr>
          <w:rFonts w:ascii="Segoe UI" w:eastAsia="Times New Roman" w:hAnsi="Segoe UI" w:cs="Segoe UI"/>
          <w:b/>
          <w:bCs/>
          <w:color w:val="000000"/>
          <w:sz w:val="22"/>
          <w:szCs w:val="22"/>
          <w:lang w:eastAsia="es-CO"/>
        </w:rPr>
        <w:t>“Demás Actividades Económicas</w:t>
      </w:r>
      <w:r w:rsidRPr="00457445">
        <w:rPr>
          <w:rFonts w:ascii="Segoe UI" w:eastAsia="Times New Roman" w:hAnsi="Segoe UI" w:cs="Segoe UI"/>
          <w:color w:val="000000"/>
          <w:sz w:val="22"/>
          <w:szCs w:val="22"/>
          <w:lang w:eastAsia="es-CO"/>
        </w:rPr>
        <w:t>”.</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color w:val="000000"/>
          <w:sz w:val="22"/>
          <w:szCs w:val="22"/>
          <w:lang w:eastAsia="es-CO"/>
        </w:rPr>
        <w:t> </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color w:val="000000"/>
          <w:sz w:val="22"/>
          <w:szCs w:val="22"/>
          <w:lang w:eastAsia="es-CO"/>
        </w:rPr>
        <w:t xml:space="preserve">En el evento en que los ingresos del obligado provengan del desarrollo de varias actividades económicas, para efectos del cálculo del ingreso base de cotización se deberá adoptar el porcentaje de coeficiente de costos correspondiente a cada una de ellas, sin que el ingreso base de cotización total supere el tope máximo de 25 veinticinco (25) </w:t>
      </w:r>
      <w:proofErr w:type="spellStart"/>
      <w:r w:rsidRPr="00457445">
        <w:rPr>
          <w:rFonts w:ascii="Segoe UI" w:eastAsia="Times New Roman" w:hAnsi="Segoe UI" w:cs="Segoe UI"/>
          <w:color w:val="000000"/>
          <w:sz w:val="22"/>
          <w:szCs w:val="22"/>
          <w:lang w:eastAsia="es-CO"/>
        </w:rPr>
        <w:t>smlmv</w:t>
      </w:r>
      <w:proofErr w:type="spellEnd"/>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color w:val="000000"/>
          <w:sz w:val="22"/>
          <w:szCs w:val="22"/>
          <w:lang w:eastAsia="es-CO"/>
        </w:rPr>
        <w:t> </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color w:val="000000"/>
          <w:sz w:val="22"/>
          <w:szCs w:val="22"/>
          <w:lang w:eastAsia="es-CO"/>
        </w:rPr>
        <w:t>Cuando los ingresos del obligado provengan de rentas de capital, adoptará el coeficiente registrado para “Rentistas de Capital”, en el último renglón de la tabla.</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b/>
          <w:bCs/>
          <w:color w:val="000000"/>
          <w:sz w:val="22"/>
          <w:szCs w:val="22"/>
          <w:lang w:eastAsia="es-CO"/>
        </w:rPr>
        <w:t> </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b/>
          <w:bCs/>
          <w:color w:val="000000"/>
          <w:sz w:val="22"/>
          <w:szCs w:val="22"/>
          <w:lang w:eastAsia="es-CO"/>
        </w:rPr>
        <w:t>Parágrafo. </w:t>
      </w:r>
      <w:r w:rsidRPr="00457445">
        <w:rPr>
          <w:rFonts w:ascii="Segoe UI" w:eastAsia="Times New Roman" w:hAnsi="Segoe UI" w:cs="Segoe UI"/>
          <w:color w:val="000000"/>
          <w:sz w:val="22"/>
          <w:szCs w:val="22"/>
          <w:lang w:eastAsia="es-CO"/>
        </w:rPr>
        <w:t xml:space="preserve">El esquema de presunción de costos adoptado en la presente resolución, observará lo reglamentado por el Gobierno </w:t>
      </w:r>
      <w:proofErr w:type="gramStart"/>
      <w:r w:rsidRPr="00457445">
        <w:rPr>
          <w:rFonts w:ascii="Segoe UI" w:eastAsia="Times New Roman" w:hAnsi="Segoe UI" w:cs="Segoe UI"/>
          <w:color w:val="000000"/>
          <w:sz w:val="22"/>
          <w:szCs w:val="22"/>
          <w:lang w:eastAsia="es-CO"/>
        </w:rPr>
        <w:t>Nacional..</w:t>
      </w:r>
      <w:proofErr w:type="gramEnd"/>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b/>
          <w:bCs/>
          <w:color w:val="000000"/>
          <w:sz w:val="18"/>
          <w:szCs w:val="18"/>
          <w:lang w:eastAsia="es-CO"/>
        </w:rPr>
        <w:t> </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b/>
          <w:bCs/>
          <w:color w:val="000000"/>
          <w:sz w:val="18"/>
          <w:szCs w:val="18"/>
          <w:lang w:eastAsia="es-CO"/>
        </w:rPr>
        <w:lastRenderedPageBreak/>
        <w:t>Artículo 4º. Excepción a la aplicación del esquema de presunción de costos. </w:t>
      </w:r>
      <w:r w:rsidRPr="00457445">
        <w:rPr>
          <w:rFonts w:ascii="Segoe UI" w:eastAsia="Times New Roman" w:hAnsi="Segoe UI" w:cs="Segoe UI"/>
          <w:color w:val="000000"/>
          <w:sz w:val="18"/>
          <w:szCs w:val="18"/>
          <w:lang w:eastAsia="es-CO"/>
        </w:rPr>
        <w:t>El trabajador independiente por los ingresos generados de su actividad económica, podrá establecer costos diferentes a los aquí establecidos, siempre y cuando cuente con los documentos que soporten los costos y deducciones, los cuales deben cumplir con los requisitos establecidos en el </w:t>
      </w:r>
      <w:hyperlink r:id="rId6" w:tooltip="Estatuto Tributario CETA" w:history="1">
        <w:r w:rsidRPr="00457445">
          <w:rPr>
            <w:rFonts w:ascii="Segoe UI" w:eastAsia="Times New Roman" w:hAnsi="Segoe UI" w:cs="Segoe UI"/>
            <w:color w:val="0089E1"/>
            <w:sz w:val="18"/>
            <w:szCs w:val="18"/>
            <w:u w:val="single"/>
            <w:lang w:eastAsia="es-CO"/>
          </w:rPr>
          <w:t>artículo 107</w:t>
        </w:r>
      </w:hyperlink>
      <w:r w:rsidRPr="00457445">
        <w:rPr>
          <w:rFonts w:ascii="Segoe UI" w:eastAsia="Times New Roman" w:hAnsi="Segoe UI" w:cs="Segoe UI"/>
          <w:color w:val="000000"/>
          <w:sz w:val="18"/>
          <w:szCs w:val="18"/>
          <w:lang w:eastAsia="es-CO"/>
        </w:rPr>
        <w:t> del Estatuto Tributario y demás normas que regulen las exigencias para la validez de dichos documentos, sin exceder los valores incluidos en la declaración del Impuesto de Renta, en los términos señalados en el inciso segundo del artículo 244 de la Ley 1955 de 2019.</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b/>
          <w:bCs/>
          <w:color w:val="000000"/>
          <w:sz w:val="22"/>
          <w:szCs w:val="22"/>
          <w:lang w:eastAsia="es-CO"/>
        </w:rPr>
        <w:t> </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b/>
          <w:bCs/>
          <w:color w:val="000000"/>
          <w:sz w:val="22"/>
          <w:szCs w:val="22"/>
          <w:lang w:eastAsia="es-CO"/>
        </w:rPr>
        <w:t>Artículo 5º</w:t>
      </w:r>
      <w:r w:rsidRPr="00457445">
        <w:rPr>
          <w:rFonts w:ascii="Segoe UI" w:eastAsia="Times New Roman" w:hAnsi="Segoe UI" w:cs="Segoe UI"/>
          <w:color w:val="000000"/>
          <w:sz w:val="22"/>
          <w:szCs w:val="22"/>
          <w:lang w:eastAsia="es-CO"/>
        </w:rPr>
        <w:t>. </w:t>
      </w:r>
      <w:r w:rsidRPr="00457445">
        <w:rPr>
          <w:rFonts w:ascii="Segoe UI" w:eastAsia="Times New Roman" w:hAnsi="Segoe UI" w:cs="Segoe UI"/>
          <w:b/>
          <w:bCs/>
          <w:color w:val="000000"/>
          <w:sz w:val="22"/>
          <w:szCs w:val="22"/>
          <w:lang w:eastAsia="es-CO"/>
        </w:rPr>
        <w:t>Procesos de fiscalización de la Unidad de Gestión Pensional y Contribuciones Parafiscales- UGPP</w:t>
      </w:r>
      <w:r w:rsidRPr="00457445">
        <w:rPr>
          <w:rFonts w:ascii="Segoe UI" w:eastAsia="Times New Roman" w:hAnsi="Segoe UI" w:cs="Segoe UI"/>
          <w:color w:val="000000"/>
          <w:sz w:val="22"/>
          <w:szCs w:val="22"/>
          <w:lang w:eastAsia="es-CO"/>
        </w:rPr>
        <w:t>. El esquema de presunción de costos aquí adoptado será aplicable a los procesos de fiscalización que adelante la Unidad de Gestión Pensional y Contribuciones Parafiscales- UGPP.</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b/>
          <w:bCs/>
          <w:color w:val="000000"/>
          <w:sz w:val="22"/>
          <w:szCs w:val="22"/>
          <w:lang w:eastAsia="es-CO"/>
        </w:rPr>
        <w:t> </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b/>
          <w:bCs/>
          <w:color w:val="000000"/>
          <w:sz w:val="22"/>
          <w:szCs w:val="22"/>
          <w:lang w:eastAsia="es-CO"/>
        </w:rPr>
        <w:t>Artículo 6º. Pago de Aportes por ingresos adicionales</w:t>
      </w:r>
      <w:r w:rsidRPr="00457445">
        <w:rPr>
          <w:rFonts w:ascii="Segoe UI" w:eastAsia="Times New Roman" w:hAnsi="Segoe UI" w:cs="Segoe UI"/>
          <w:color w:val="000000"/>
          <w:sz w:val="22"/>
          <w:szCs w:val="22"/>
          <w:lang w:eastAsia="es-CO"/>
        </w:rPr>
        <w:t xml:space="preserve">: Los trabajadores independientes que generen ingresos por cuenta propia y para quienes celebren contratos diferentes de prestación de servicios personales que en forma simultánea perciban ingresos adicionales en calidad de dependientes, pensionados y/o contratistas deberán efectuar aportes al sistema de seguridad social integral por estos ingresos sin que el ingreso base de cotización total supere el tope máximo de veinticinco (25) </w:t>
      </w:r>
      <w:proofErr w:type="spellStart"/>
      <w:r w:rsidRPr="00457445">
        <w:rPr>
          <w:rFonts w:ascii="Segoe UI" w:eastAsia="Times New Roman" w:hAnsi="Segoe UI" w:cs="Segoe UI"/>
          <w:color w:val="000000"/>
          <w:sz w:val="22"/>
          <w:szCs w:val="22"/>
          <w:lang w:eastAsia="es-CO"/>
        </w:rPr>
        <w:t>smlmv</w:t>
      </w:r>
      <w:proofErr w:type="spellEnd"/>
      <w:r w:rsidRPr="00457445">
        <w:rPr>
          <w:rFonts w:ascii="Segoe UI" w:eastAsia="Times New Roman" w:hAnsi="Segoe UI" w:cs="Segoe UI"/>
          <w:color w:val="000000"/>
          <w:sz w:val="22"/>
          <w:szCs w:val="22"/>
          <w:lang w:eastAsia="es-CO"/>
        </w:rPr>
        <w:t>.</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b/>
          <w:bCs/>
          <w:color w:val="000000"/>
          <w:sz w:val="22"/>
          <w:szCs w:val="22"/>
          <w:lang w:eastAsia="es-CO"/>
        </w:rPr>
        <w:t> </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b/>
          <w:bCs/>
          <w:color w:val="000000"/>
          <w:sz w:val="22"/>
          <w:szCs w:val="22"/>
          <w:lang w:eastAsia="es-CO"/>
        </w:rPr>
        <w:t>Artículo 7º Vigencia. </w:t>
      </w:r>
      <w:r w:rsidRPr="00457445">
        <w:rPr>
          <w:rFonts w:ascii="Segoe UI" w:eastAsia="Times New Roman" w:hAnsi="Segoe UI" w:cs="Segoe UI"/>
          <w:color w:val="000000"/>
          <w:sz w:val="22"/>
          <w:szCs w:val="22"/>
          <w:lang w:eastAsia="es-CO"/>
        </w:rPr>
        <w:t>La presente resolución rige a partir de la fecha de su publicación</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color w:val="000000"/>
          <w:sz w:val="22"/>
          <w:szCs w:val="22"/>
          <w:lang w:eastAsia="es-CO"/>
        </w:rPr>
        <w:t> </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color w:val="000000"/>
          <w:sz w:val="22"/>
          <w:szCs w:val="22"/>
          <w:lang w:eastAsia="es-CO"/>
        </w:rPr>
        <w:t>Dada en Bogotá D.C, a los ___ días del mes de ____________ 2019</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b/>
          <w:bCs/>
          <w:color w:val="000000"/>
          <w:sz w:val="22"/>
          <w:szCs w:val="22"/>
          <w:lang w:eastAsia="es-CO"/>
        </w:rPr>
        <w:t> </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b/>
          <w:bCs/>
          <w:color w:val="000000"/>
          <w:sz w:val="22"/>
          <w:szCs w:val="22"/>
          <w:lang w:eastAsia="es-CO"/>
        </w:rPr>
        <w:t>Publíquese y cúmplase</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b/>
          <w:bCs/>
          <w:color w:val="000000"/>
          <w:sz w:val="22"/>
          <w:szCs w:val="22"/>
          <w:lang w:eastAsia="es-CO"/>
        </w:rPr>
        <w:t> </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b/>
          <w:bCs/>
          <w:color w:val="000000"/>
          <w:sz w:val="22"/>
          <w:szCs w:val="22"/>
          <w:lang w:eastAsia="es-CO"/>
        </w:rPr>
        <w:t> </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b/>
          <w:bCs/>
          <w:color w:val="000000"/>
          <w:sz w:val="22"/>
          <w:szCs w:val="22"/>
          <w:lang w:eastAsia="es-CO"/>
        </w:rPr>
        <w:t>CICERÓN FERNANDO JIMENEZ RODRÍGUEZ</w:t>
      </w:r>
    </w:p>
    <w:p w:rsidR="00457445" w:rsidRPr="00457445" w:rsidRDefault="00457445" w:rsidP="00457445">
      <w:pPr>
        <w:spacing w:line="240" w:lineRule="auto"/>
        <w:rPr>
          <w:rFonts w:ascii="Arial" w:eastAsia="Times New Roman" w:hAnsi="Arial" w:cs="Arial"/>
          <w:color w:val="000000"/>
          <w:sz w:val="18"/>
          <w:szCs w:val="18"/>
          <w:lang w:eastAsia="es-CO"/>
        </w:rPr>
      </w:pPr>
      <w:r w:rsidRPr="00457445">
        <w:rPr>
          <w:rFonts w:ascii="Segoe UI" w:eastAsia="Times New Roman" w:hAnsi="Segoe UI" w:cs="Segoe UI"/>
          <w:color w:val="000000"/>
          <w:sz w:val="18"/>
          <w:szCs w:val="18"/>
          <w:lang w:eastAsia="es-CO"/>
        </w:rPr>
        <w:t>Director General- UGPP</w:t>
      </w:r>
    </w:p>
    <w:p w:rsidR="007F5CC8" w:rsidRDefault="007F5CC8">
      <w:bookmarkStart w:id="0" w:name="_GoBack"/>
      <w:bookmarkEnd w:id="0"/>
    </w:p>
    <w:sectPr w:rsidR="007F5C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445"/>
    <w:rsid w:val="00457445"/>
    <w:rsid w:val="007F5C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1F887-DE56-44B4-A4B0-DF432774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36"/>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9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155" TargetMode="External"/><Relationship Id="rId5" Type="http://schemas.openxmlformats.org/officeDocument/2006/relationships/hyperlink" Target="https://www.ceta.org.co/html/vista_de_un_articulo.asp?Norma=155" TargetMode="External"/><Relationship Id="rId4" Type="http://schemas.openxmlformats.org/officeDocument/2006/relationships/hyperlink" Target="https://www.ceta.org.co/html/vista_de_un_articulo.asp?Norma=15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1473</Words>
  <Characters>8106</Characters>
  <Application>Microsoft Office Word</Application>
  <DocSecurity>0</DocSecurity>
  <Lines>67</Lines>
  <Paragraphs>19</Paragraphs>
  <ScaleCrop>false</ScaleCrop>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2020-01-05T13:51:00Z</dcterms:created>
  <dcterms:modified xsi:type="dcterms:W3CDTF">2020-01-05T13:52:00Z</dcterms:modified>
</cp:coreProperties>
</file>